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7B83" w14:textId="77777777" w:rsidR="00475F02" w:rsidRPr="00475F02" w:rsidRDefault="00475F02" w:rsidP="00E476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F02">
        <w:rPr>
          <w:rFonts w:ascii="Times New Roman" w:hAnsi="Times New Roman" w:cs="Times New Roman"/>
          <w:b/>
          <w:bCs/>
          <w:sz w:val="28"/>
          <w:szCs w:val="28"/>
        </w:rPr>
        <w:t>Памятка о мерах профилактики листериоза</w:t>
      </w:r>
    </w:p>
    <w:p w14:paraId="350DF219" w14:textId="00C2CAEB" w:rsidR="00475F02" w:rsidRPr="00475F02" w:rsidRDefault="00D62B8D" w:rsidP="00E47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EF43C8" wp14:editId="3FB10E84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2072640" cy="1308326"/>
            <wp:effectExtent l="0" t="0" r="3810" b="6350"/>
            <wp:wrapTight wrapText="bothSides">
              <wp:wrapPolygon edited="0">
                <wp:start x="0" y="0"/>
                <wp:lineTo x="0" y="21390"/>
                <wp:lineTo x="21441" y="21390"/>
                <wp:lineTo x="21441" y="0"/>
                <wp:lineTo x="0" y="0"/>
              </wp:wrapPolygon>
            </wp:wrapTight>
            <wp:docPr id="338400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002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308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F02" w:rsidRPr="00475F02">
        <w:rPr>
          <w:rFonts w:ascii="Times New Roman" w:hAnsi="Times New Roman" w:cs="Times New Roman"/>
          <w:sz w:val="28"/>
          <w:szCs w:val="28"/>
        </w:rPr>
        <w:t xml:space="preserve">Листериоз — </w:t>
      </w:r>
      <w:proofErr w:type="spellStart"/>
      <w:r w:rsidR="00475F02" w:rsidRPr="00475F02">
        <w:rPr>
          <w:rFonts w:ascii="Times New Roman" w:hAnsi="Times New Roman" w:cs="Times New Roman"/>
          <w:sz w:val="28"/>
          <w:szCs w:val="28"/>
        </w:rPr>
        <w:t>сапрозоонозное</w:t>
      </w:r>
      <w:proofErr w:type="spellEnd"/>
      <w:r w:rsidR="00475F02" w:rsidRPr="00475F02">
        <w:rPr>
          <w:rFonts w:ascii="Times New Roman" w:hAnsi="Times New Roman" w:cs="Times New Roman"/>
          <w:sz w:val="28"/>
          <w:szCs w:val="28"/>
        </w:rPr>
        <w:t xml:space="preserve"> инфекционное заболевание человека и животных, вызываемое патогенными представителями рода </w:t>
      </w:r>
      <w:proofErr w:type="spellStart"/>
      <w:r w:rsidR="00475F02" w:rsidRPr="00475F02">
        <w:rPr>
          <w:rFonts w:ascii="Times New Roman" w:hAnsi="Times New Roman" w:cs="Times New Roman"/>
          <w:sz w:val="28"/>
          <w:szCs w:val="28"/>
        </w:rPr>
        <w:t>Listeria</w:t>
      </w:r>
      <w:proofErr w:type="spellEnd"/>
      <w:r w:rsidR="00475F02" w:rsidRPr="00475F02">
        <w:rPr>
          <w:rFonts w:ascii="Times New Roman" w:hAnsi="Times New Roman" w:cs="Times New Roman"/>
          <w:sz w:val="28"/>
          <w:szCs w:val="28"/>
        </w:rPr>
        <w:t xml:space="preserve"> (короткие палочки).</w:t>
      </w:r>
    </w:p>
    <w:p w14:paraId="730D83E4" w14:textId="77777777" w:rsidR="00475F02" w:rsidRPr="00475F02" w:rsidRDefault="00475F02" w:rsidP="00E4764E">
      <w:p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Листерии устойчивы к различным физическим и технологическим воздействиям, в том числе низкотемпературным, они длительно сохраняются во всех объектах окружающей среды: в почве, воде, патологическом материале от павших животных, кормах. Наибольшее значение в распространении листериоза играет способность возбудителя длительно сохраняться в различных пищевых продуктах, в том числе упакованных в барьерные пленки, ограничивающие доступ кислорода (под вакуумом, в модифицированной газовой атмосфере).</w:t>
      </w:r>
    </w:p>
    <w:p w14:paraId="6889C7B9" w14:textId="77777777" w:rsidR="00475F02" w:rsidRPr="00475F02" w:rsidRDefault="00475F02" w:rsidP="00E4764E">
      <w:p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Основным резервуаром возбудителя в природе являются многие виды синантропных и диких грызунов. Листерии обнаруживаются у лисиц, норок, песцов, диких копытных, птиц. Встречаются также в рыбе и продуктах моря (креветках).</w:t>
      </w:r>
    </w:p>
    <w:p w14:paraId="08BFF4D4" w14:textId="77777777" w:rsidR="00475F02" w:rsidRPr="00475F02" w:rsidRDefault="00475F02" w:rsidP="00E4764E">
      <w:p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Листериоз поражает домашних и сельскохозяйственных животных (свиней, мелкий и крупный рогатый скот, лошадей, кроликов, реже кошек и собак), а также домашнюю и декоративную птицу.</w:t>
      </w:r>
    </w:p>
    <w:p w14:paraId="47201CB7" w14:textId="77777777" w:rsidR="00475F02" w:rsidRPr="00475F02" w:rsidRDefault="00475F02" w:rsidP="00E4764E">
      <w:p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Источником инфекции являются животные — больные и бессимптомные носители, которые выделяют возбудителей во внешнюю среду с мочой, калом, выделениями из носовой полости, глаз, половых органов, а также околоплодной жидкостью и молоком.</w:t>
      </w:r>
    </w:p>
    <w:p w14:paraId="35FA7F0F" w14:textId="77777777" w:rsidR="00475F02" w:rsidRPr="00475F02" w:rsidRDefault="00475F02" w:rsidP="00E4764E">
      <w:p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 xml:space="preserve">Переносчиком инфекции могут быть кровососущие членистоногие (иксодовые и </w:t>
      </w:r>
      <w:proofErr w:type="spellStart"/>
      <w:r w:rsidRPr="00475F02">
        <w:rPr>
          <w:rFonts w:ascii="Times New Roman" w:hAnsi="Times New Roman" w:cs="Times New Roman"/>
          <w:sz w:val="28"/>
          <w:szCs w:val="28"/>
        </w:rPr>
        <w:t>гамазовые</w:t>
      </w:r>
      <w:proofErr w:type="spellEnd"/>
      <w:r w:rsidRPr="00475F02">
        <w:rPr>
          <w:rFonts w:ascii="Times New Roman" w:hAnsi="Times New Roman" w:cs="Times New Roman"/>
          <w:sz w:val="28"/>
          <w:szCs w:val="28"/>
        </w:rPr>
        <w:t xml:space="preserve"> клещи), а также различные виды блох и вшей.</w:t>
      </w:r>
    </w:p>
    <w:p w14:paraId="65E92F79" w14:textId="77777777" w:rsidR="00475F02" w:rsidRPr="00475F02" w:rsidRDefault="00475F02" w:rsidP="00E4764E">
      <w:p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Больной листериозом человек или бессимптомный носитель также представляет эпидемиологическую опасность.</w:t>
      </w:r>
    </w:p>
    <w:p w14:paraId="3DCF2AAB" w14:textId="77777777" w:rsidR="00475F02" w:rsidRPr="00475F02" w:rsidRDefault="00475F02" w:rsidP="00E4764E">
      <w:p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 xml:space="preserve">При листериозе имеют место многообразные механизмы передачи возбудителя инфекции: фекально-оральный, контактно-бытовой, аспирационный, </w:t>
      </w:r>
      <w:proofErr w:type="spellStart"/>
      <w:r w:rsidRPr="00475F02">
        <w:rPr>
          <w:rFonts w:ascii="Times New Roman" w:hAnsi="Times New Roman" w:cs="Times New Roman"/>
          <w:sz w:val="28"/>
          <w:szCs w:val="28"/>
        </w:rPr>
        <w:t>трансплацентарный</w:t>
      </w:r>
      <w:proofErr w:type="spellEnd"/>
      <w:r w:rsidRPr="00475F02">
        <w:rPr>
          <w:rFonts w:ascii="Times New Roman" w:hAnsi="Times New Roman" w:cs="Times New Roman"/>
          <w:sz w:val="28"/>
          <w:szCs w:val="28"/>
        </w:rPr>
        <w:t>.</w:t>
      </w:r>
    </w:p>
    <w:p w14:paraId="4FA4C9AC" w14:textId="77777777" w:rsidR="00475F02" w:rsidRPr="00475F02" w:rsidRDefault="00475F02" w:rsidP="00E4764E">
      <w:p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Листерии проникают в организм человека через желудочно-кишечный тракт, органы дыхания, слизистые оболочки, поврежденную кожу, плаценту.</w:t>
      </w:r>
    </w:p>
    <w:p w14:paraId="7FD9A65E" w14:textId="77777777" w:rsidR="00475F02" w:rsidRPr="00475F02" w:rsidRDefault="00475F02" w:rsidP="00E4764E">
      <w:p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Заражение человека происходит в результате:</w:t>
      </w:r>
    </w:p>
    <w:p w14:paraId="5BD07103" w14:textId="77777777" w:rsidR="00475F02" w:rsidRPr="00475F02" w:rsidRDefault="00475F02" w:rsidP="00E4764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употребления в пищу инфицированных продуктов животного происхождения (молочные продукты, мясные продукты, птицеводческая продукция), овощей и фруктов, морепродуктов, употребляемых в пищу в сыром или термически недостаточно обработанном виде;</w:t>
      </w:r>
    </w:p>
    <w:p w14:paraId="668C6C82" w14:textId="77777777" w:rsidR="00475F02" w:rsidRPr="00475F02" w:rsidRDefault="00475F02" w:rsidP="00E4764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вдыхания пыли, контаминированной возбудителем;</w:t>
      </w:r>
    </w:p>
    <w:p w14:paraId="342BB110" w14:textId="77777777" w:rsidR="00475F02" w:rsidRPr="00475F02" w:rsidRDefault="00475F02" w:rsidP="00E4764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lastRenderedPageBreak/>
        <w:t>контакта с больными или носителями листерий животными;</w:t>
      </w:r>
    </w:p>
    <w:p w14:paraId="0B3473A1" w14:textId="77777777" w:rsidR="00475F02" w:rsidRPr="00475F02" w:rsidRDefault="00475F02" w:rsidP="00E4764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внутриутробной передаче возбудителя через плаценту или при контакте новорожденного с родовыми путями родильницы;</w:t>
      </w:r>
    </w:p>
    <w:p w14:paraId="76449F88" w14:textId="77777777" w:rsidR="00475F02" w:rsidRPr="00475F02" w:rsidRDefault="00475F02" w:rsidP="00E4764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контакта новорожденных детей с инфицированными предметами ухода и медицинским инструментарием в родильных домах.</w:t>
      </w:r>
    </w:p>
    <w:p w14:paraId="543DFA68" w14:textId="77777777" w:rsidR="00A061AB" w:rsidRDefault="00475F02" w:rsidP="00E4764E">
      <w:p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 xml:space="preserve">Заболевание может приобретать острое, подострое, хроническое и абортивное течение, обычно склонно к </w:t>
      </w:r>
      <w:proofErr w:type="spellStart"/>
      <w:r w:rsidRPr="00475F02">
        <w:rPr>
          <w:rFonts w:ascii="Times New Roman" w:hAnsi="Times New Roman" w:cs="Times New Roman"/>
          <w:sz w:val="28"/>
          <w:szCs w:val="28"/>
        </w:rPr>
        <w:t>рецидивированию</w:t>
      </w:r>
      <w:proofErr w:type="spellEnd"/>
      <w:r w:rsidRPr="00475F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2A66D4" w14:textId="77777777" w:rsidR="00A2629A" w:rsidRDefault="00475F02" w:rsidP="00E4764E">
      <w:p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 xml:space="preserve">Выделяют следующие основные клинические формы листериоза: </w:t>
      </w:r>
    </w:p>
    <w:p w14:paraId="479C2D13" w14:textId="1B0382B0" w:rsidR="00A2629A" w:rsidRDefault="006E212C" w:rsidP="00E47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E61390" wp14:editId="70B95E7F">
            <wp:simplePos x="0" y="0"/>
            <wp:positionH relativeFrom="column">
              <wp:posOffset>635</wp:posOffset>
            </wp:positionH>
            <wp:positionV relativeFrom="paragraph">
              <wp:posOffset>321310</wp:posOffset>
            </wp:positionV>
            <wp:extent cx="1844040" cy="1150620"/>
            <wp:effectExtent l="0" t="0" r="3810" b="0"/>
            <wp:wrapSquare wrapText="bothSides"/>
            <wp:docPr id="14026664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66646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9A" w:rsidRPr="00475F02">
        <w:rPr>
          <w:rFonts w:ascii="Times New Roman" w:hAnsi="Times New Roman" w:cs="Times New Roman"/>
          <w:sz w:val="28"/>
          <w:szCs w:val="28"/>
        </w:rPr>
        <w:t>ангинозно-септическую,</w:t>
      </w:r>
    </w:p>
    <w:p w14:paraId="3AA91F97" w14:textId="1EE03950" w:rsidR="00D76516" w:rsidRDefault="00475F02" w:rsidP="00E4764E">
      <w:p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 xml:space="preserve">нервную, </w:t>
      </w:r>
      <w:proofErr w:type="spellStart"/>
      <w:r w:rsidRPr="00475F02">
        <w:rPr>
          <w:rFonts w:ascii="Times New Roman" w:hAnsi="Times New Roman" w:cs="Times New Roman"/>
          <w:sz w:val="28"/>
          <w:szCs w:val="28"/>
        </w:rPr>
        <w:t>глазо</w:t>
      </w:r>
      <w:proofErr w:type="spellEnd"/>
      <w:r w:rsidRPr="00475F02">
        <w:rPr>
          <w:rFonts w:ascii="Times New Roman" w:hAnsi="Times New Roman" w:cs="Times New Roman"/>
          <w:sz w:val="28"/>
          <w:szCs w:val="28"/>
        </w:rPr>
        <w:t xml:space="preserve">-железистую, септико-гранулематозную (у плодов и новорожденных), смешанную. </w:t>
      </w:r>
    </w:p>
    <w:p w14:paraId="41A91F83" w14:textId="4FA514C7" w:rsidR="00475F02" w:rsidRPr="00475F02" w:rsidRDefault="00475F02" w:rsidP="00E4764E">
      <w:p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 xml:space="preserve">Известны случаи длительного бессимптомного </w:t>
      </w:r>
      <w:proofErr w:type="spellStart"/>
      <w:r w:rsidRPr="00475F02">
        <w:rPr>
          <w:rFonts w:ascii="Times New Roman" w:hAnsi="Times New Roman" w:cs="Times New Roman"/>
          <w:sz w:val="28"/>
          <w:szCs w:val="28"/>
        </w:rPr>
        <w:t>листериозного</w:t>
      </w:r>
      <w:proofErr w:type="spellEnd"/>
      <w:r w:rsidRPr="00475F02">
        <w:rPr>
          <w:rFonts w:ascii="Times New Roman" w:hAnsi="Times New Roman" w:cs="Times New Roman"/>
          <w:sz w:val="28"/>
          <w:szCs w:val="28"/>
        </w:rPr>
        <w:t xml:space="preserve"> носительства. Инкубационный период варьируется от нескольких дней до 1,5 месяцев.</w:t>
      </w:r>
    </w:p>
    <w:p w14:paraId="102ACF37" w14:textId="77777777" w:rsidR="00475F02" w:rsidRPr="00475F02" w:rsidRDefault="00475F02" w:rsidP="00E4764E">
      <w:p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Для всех людей риск заболеть листериозом может быть уменьшен путем принятия следующих мер предосторожности:</w:t>
      </w:r>
    </w:p>
    <w:p w14:paraId="555C36AA" w14:textId="77777777" w:rsidR="00475F02" w:rsidRPr="00475F02" w:rsidRDefault="00475F02" w:rsidP="00E476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тщательной обработки блюд из мяса и яиц;</w:t>
      </w:r>
    </w:p>
    <w:p w14:paraId="4DA9EEC0" w14:textId="77777777" w:rsidR="00475F02" w:rsidRPr="00475F02" w:rsidRDefault="00475F02" w:rsidP="00E476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тщательного мытья сырых овощей перед едой;</w:t>
      </w:r>
    </w:p>
    <w:p w14:paraId="0B39112C" w14:textId="77777777" w:rsidR="00475F02" w:rsidRPr="00475F02" w:rsidRDefault="00475F02" w:rsidP="00E476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хранения сырого мяса отдельно от сырых овощей и готовых продуктов;</w:t>
      </w:r>
    </w:p>
    <w:p w14:paraId="27547B29" w14:textId="77777777" w:rsidR="00475F02" w:rsidRPr="00475F02" w:rsidRDefault="00475F02" w:rsidP="00E476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мытья с моющим средством разделочной доски после разделки сырого мяса и перед использованием ее для овощей;</w:t>
      </w:r>
    </w:p>
    <w:p w14:paraId="6F0593E1" w14:textId="77777777" w:rsidR="00475F02" w:rsidRPr="00475F02" w:rsidRDefault="00475F02" w:rsidP="00E476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отказа от употребления непастеризованного молока или продуктов, сделанных из такого молока;</w:t>
      </w:r>
    </w:p>
    <w:p w14:paraId="44072396" w14:textId="77777777" w:rsidR="00475F02" w:rsidRPr="00475F02" w:rsidRDefault="00475F02" w:rsidP="00E476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тщательного мытья рук после контакта с сырым мясом;</w:t>
      </w:r>
    </w:p>
    <w:p w14:paraId="60ED0D47" w14:textId="77777777" w:rsidR="00475F02" w:rsidRPr="00475F02" w:rsidRDefault="00475F02" w:rsidP="00E476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F02">
        <w:rPr>
          <w:rFonts w:ascii="Times New Roman" w:hAnsi="Times New Roman" w:cs="Times New Roman"/>
          <w:sz w:val="28"/>
          <w:szCs w:val="28"/>
        </w:rPr>
        <w:t>соблюдения сроков годности и условий хранения пищи.</w:t>
      </w:r>
    </w:p>
    <w:p w14:paraId="699D4BAE" w14:textId="77777777" w:rsidR="00D47AFF" w:rsidRDefault="00D47AFF" w:rsidP="00E476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7EA46C" w14:textId="15721AD4" w:rsidR="00834CA1" w:rsidRPr="00D47AFF" w:rsidRDefault="00D47AFF" w:rsidP="00E47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47AFF">
        <w:rPr>
          <w:rFonts w:ascii="Times New Roman" w:hAnsi="Times New Roman" w:cs="Times New Roman"/>
          <w:sz w:val="24"/>
          <w:szCs w:val="24"/>
        </w:rPr>
        <w:t>филиал ФБУЗ «ЦГ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AF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AF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A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AFF">
        <w:rPr>
          <w:rFonts w:ascii="Times New Roman" w:hAnsi="Times New Roman" w:cs="Times New Roman"/>
          <w:sz w:val="24"/>
          <w:szCs w:val="24"/>
        </w:rPr>
        <w:t>РО» в г. Таганроге</w:t>
      </w:r>
    </w:p>
    <w:sectPr w:rsidR="00834CA1" w:rsidRPr="00D47AFF" w:rsidSect="00E4764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5AC6"/>
    <w:multiLevelType w:val="multilevel"/>
    <w:tmpl w:val="36CA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C46400"/>
    <w:multiLevelType w:val="multilevel"/>
    <w:tmpl w:val="5B20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5823720">
    <w:abstractNumId w:val="0"/>
  </w:num>
  <w:num w:numId="2" w16cid:durableId="1434741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0C"/>
    <w:rsid w:val="00410AD1"/>
    <w:rsid w:val="00475F02"/>
    <w:rsid w:val="006E212C"/>
    <w:rsid w:val="00767B0C"/>
    <w:rsid w:val="007F5484"/>
    <w:rsid w:val="00834CA1"/>
    <w:rsid w:val="00A061AB"/>
    <w:rsid w:val="00A2629A"/>
    <w:rsid w:val="00C6480A"/>
    <w:rsid w:val="00D47AFF"/>
    <w:rsid w:val="00D62B8D"/>
    <w:rsid w:val="00D76516"/>
    <w:rsid w:val="00E4764E"/>
    <w:rsid w:val="00F3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8EBB"/>
  <w15:chartTrackingRefBased/>
  <w15:docId w15:val="{53F4CD59-5773-4630-9C92-185E15D7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15</cp:revision>
  <dcterms:created xsi:type="dcterms:W3CDTF">2024-12-09T12:23:00Z</dcterms:created>
  <dcterms:modified xsi:type="dcterms:W3CDTF">2024-12-09T12:33:00Z</dcterms:modified>
</cp:coreProperties>
</file>